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720"/>
        <w:gridCol w:w="3538"/>
        <w:gridCol w:w="2985"/>
        <w:gridCol w:w="1507"/>
        <w:gridCol w:w="1450"/>
      </w:tblGrid>
      <w:tr>
        <w:trPr>
          <w:trHeight w:val="811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4268" w:type="auto"/>
            <w:textDirection w:val="lrTb"/>
            <w:vAlign w:val="top"/>
          </w:tcPr>
          <w:p>
            <w:pPr>
              <w:ind w:right="0" w:left="0" w:firstLine="0"/>
              <w:spacing w:before="72" w:after="0" w:line="240" w:lineRule="auto"/>
              <w:jc w:val="center"/>
              <w:tabs>
                <w:tab w:val="left" w:leader="none" w:pos="702"/>
                <w:tab w:val="right" w:leader="none" w:pos="3422"/>
              </w:tabs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Не	</w:t>
            </w:r>
            <w:r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согласованы	</w:t>
            </w:r>
            <w:r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специальные</w:t>
            </w:r>
          </w:p>
          <w:p>
            <w:pPr>
              <w:ind w:right="108" w:left="108" w:firstLine="0"/>
              <w:spacing w:before="0" w:after="0" w:line="240" w:lineRule="auto"/>
              <w:jc w:val="left"/>
              <w:rPr>
                <w:color w:val="#2F292D"/>
                <w:sz w:val="20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программы по обучению мерам </w:t>
            </w:r>
            <w:r>
              <w:rPr>
                <w:color w:val="#2F292D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пожарной безопасности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25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п. 3 Правил
</w:t>
              <w:br/>
            </w:r>
            <w:r>
              <w:rPr>
                <w:color w:val="#2F292D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противопожарного режима в
</w:t>
              <w:br/>
            </w:r>
            <w:r>
              <w:rPr>
                <w:color w:val="#2F292D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РФ (утв. постановлением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87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02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0" w:type="auto"/>
            <w:textDirection w:val="lrTb"/>
            <w:vAlign w:val="center"/>
          </w:tcPr>
          <w:p>
            <w:pPr>
              <w:ind w:right="398" w:left="0" w:firstLine="0"/>
              <w:spacing w:before="0" w:after="0" w:line="240" w:lineRule="auto"/>
              <w:jc w:val="right"/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2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Правительства РФ от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76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11.11.2019</w:t>
            </w:r>
            <w:r>
              <w:rPr>
                <w:color w:val="#2F292D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г.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2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2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25.04.2012</w:t>
            </w:r>
            <w:r>
              <w:rPr>
                <w:color w:val="#2F292D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г. 3Ы90), приказ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7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2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42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25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МЧС России от 12.12</w:t>
            </w:r>
            <w:r>
              <w:rPr>
                <w:color w:val="#2F292D"/>
                <w:sz w:val="21"/>
                <w:lang w:val="ru-RU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.2007г.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7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02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08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2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25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2F292D"/>
                <w:sz w:val="25"/>
                <w:lang w:val="ru-RU"/>
                <w:spacing w:val="-40"/>
                <w:w w:val="105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2F292D"/>
                <w:sz w:val="25"/>
                <w:lang w:val="ru-RU"/>
                <w:spacing w:val="-40"/>
                <w:w w:val="105"/>
                <w:strike w:val="false"/>
                <w:vertAlign w:val="baseline"/>
                <w:rFonts w:ascii="Courier New" w:hAnsi="Courier New"/>
              </w:rPr>
              <w:t xml:space="preserve">Х2645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876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021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280" w:line="20" w:lineRule="exact"/>
      </w:pPr>
    </w:p>
    <w:p>
      <w:pPr>
        <w:ind w:right="36" w:left="0" w:firstLine="0"/>
        <w:spacing w:before="0" w:after="0" w:line="271" w:lineRule="auto"/>
        <w:jc w:val="right"/>
        <w:rPr>
          <w:color w:val="#2F292D"/>
          <w:sz w:val="22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Устранение указанных нарушений обязательных требований пожарной безопасности в</w:t>
      </w:r>
    </w:p>
    <w:p>
      <w:pPr>
        <w:ind w:right="0" w:left="0" w:firstLine="0"/>
        <w:spacing w:before="0" w:after="0" w:line="240" w:lineRule="auto"/>
        <w:jc w:val="both"/>
        <w:rPr>
          <w:color w:val="#2F292D"/>
          <w:sz w:val="26"/>
          <w:lang w:val="ru-RU"/>
          <w:spacing w:val="-44"/>
          <w:w w:val="100"/>
          <w:strike w:val="false"/>
          <w:vertAlign w:val="baseline"/>
          <w:rFonts w:ascii="Courier New" w:hAnsi="Courier New"/>
        </w:rPr>
      </w:pPr>
      <w:r>
        <w:rPr>
          <w:color w:val="#2F292D"/>
          <w:sz w:val="26"/>
          <w:lang w:val="ru-RU"/>
          <w:spacing w:val="-44"/>
          <w:w w:val="100"/>
          <w:strike w:val="false"/>
          <w:vertAlign w:val="baseline"/>
          <w:rFonts w:ascii="Courier New" w:hAnsi="Courier New"/>
        </w:rPr>
        <w:t xml:space="preserve">установленный срок является обязательным для руководителей организаций, должностных лиц, </w:t>
      </w:r>
      <w:r>
        <w:rPr>
          <w:color w:val="#2F292D"/>
          <w:sz w:val="26"/>
          <w:lang w:val="ru-RU"/>
          <w:spacing w:val="-36"/>
          <w:w w:val="100"/>
          <w:strike w:val="false"/>
          <w:vertAlign w:val="baseline"/>
          <w:rFonts w:ascii="Courier New" w:hAnsi="Courier New"/>
        </w:rPr>
        <w:t xml:space="preserve">юридических лиц и граждан, на которых возложена в соответствии с законодательством </w:t>
      </w:r>
      <w:r>
        <w:rPr>
          <w:color w:val="#2F292D"/>
          <w:sz w:val="26"/>
          <w:lang w:val="ru-RU"/>
          <w:spacing w:val="-42"/>
          <w:w w:val="100"/>
          <w:strike w:val="false"/>
          <w:vertAlign w:val="baseline"/>
          <w:rFonts w:ascii="Courier New" w:hAnsi="Courier New"/>
        </w:rPr>
        <w:t xml:space="preserve">Российской Федерации обязанность по их устранению.</w:t>
      </w:r>
    </w:p>
    <w:p>
      <w:pPr>
        <w:ind w:right="0" w:left="0" w:firstLine="432"/>
        <w:spacing w:before="0" w:after="0" w:line="240" w:lineRule="auto"/>
        <w:jc w:val="both"/>
        <w:rPr>
          <w:color w:val="#2F292D"/>
          <w:sz w:val="22"/>
          <w:lang w:val="ru-RU"/>
          <w:spacing w:val="13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13"/>
          <w:w w:val="100"/>
          <w:strike w:val="false"/>
          <w:vertAlign w:val="baseline"/>
          <w:rFonts w:ascii="Arial" w:hAnsi="Arial"/>
        </w:rPr>
        <w:t xml:space="preserve">Способ устранения нарушений обязательных требований пожарной безопасности </w:t>
      </w:r>
      <w:r>
        <w:rPr>
          <w:color w:val="#2F292D"/>
          <w:sz w:val="22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определяется: собственниками имущества; лицами, уполномоченными владеть, пользоваться или </w:t>
      </w:r>
      <w:r>
        <w:rPr>
          <w:color w:val="#2F292D"/>
          <w:sz w:val="22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распоряжаться имуществом, в том числе руководителями организаций исходя из условия </w:t>
      </w:r>
      <w:r>
        <w:rPr>
          <w:color w:val="#2F292D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соответствия объекта защиты требованиям пожарной безопасности, установленным ст.б, ст.78 </w:t>
      </w:r>
      <w:r>
        <w:rPr>
          <w:color w:val="#2F292D"/>
          <w:sz w:val="22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Федерального закона от 22.07.2008 Ns123-ФЗ «Технический регламент о требованиях пожарной</w:t>
      </w:r>
    </w:p>
    <w:p>
      <w:pPr>
        <w:ind w:right="0" w:left="0" w:firstLine="0"/>
        <w:spacing w:before="36" w:after="0" w:line="208" w:lineRule="auto"/>
        <w:jc w:val="left"/>
        <w:rPr>
          <w:color w:val="#2F292D"/>
          <w:sz w:val="26"/>
          <w:lang w:val="ru-RU"/>
          <w:spacing w:val="-38"/>
          <w:w w:val="100"/>
          <w:strike w:val="false"/>
          <w:vertAlign w:val="baseline"/>
          <w:rFonts w:ascii="Courier New" w:hAnsi="Courier New"/>
        </w:rPr>
      </w:pPr>
      <w:r>
        <w:rPr>
          <w:color w:val="#2F292D"/>
          <w:sz w:val="26"/>
          <w:lang w:val="ru-RU"/>
          <w:spacing w:val="-38"/>
          <w:w w:val="100"/>
          <w:strike w:val="false"/>
          <w:vertAlign w:val="baseline"/>
          <w:rFonts w:ascii="Courier New" w:hAnsi="Courier New"/>
        </w:rPr>
        <w:t xml:space="preserve">безопасности.</w:t>
      </w:r>
    </w:p>
    <w:p>
      <w:pPr>
        <w:ind w:right="0" w:left="0" w:firstLine="1008"/>
        <w:spacing w:before="36" w:after="0" w:line="240" w:lineRule="auto"/>
        <w:jc w:val="both"/>
        <w:rPr>
          <w:color w:val="#2F292D"/>
          <w:sz w:val="22"/>
          <w:lang w:val="ru-RU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При несогласии с указанными нарушениями обязательны требований пожарной </w:t>
      </w:r>
      <w:r>
        <w:rPr>
          <w:color w:val="#2F292D"/>
          <w:sz w:val="22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безопасности и (или) сроками их устранения физические и юридические лица в трехмесячный </w:t>
      </w:r>
      <w:r>
        <w:rPr>
          <w:color w:val="#2F292D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срок вправе обжаловать настоящие предписания в порядке, установленном законодательством </w:t>
      </w:r>
      <w:r>
        <w:rPr>
          <w:color w:val="#2F292D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Российской Федерации для оспаривания ненормативных правовых актов, решений и действий </w:t>
      </w:r>
      <w:r>
        <w:rPr>
          <w:color w:val="#2F292D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(бездействия) государственных органов, должностных лиц.</w:t>
      </w:r>
    </w:p>
    <w:p>
      <w:pPr>
        <w:ind w:right="36" w:left="0" w:firstLine="0"/>
        <w:spacing w:before="36" w:after="0" w:line="271" w:lineRule="auto"/>
        <w:jc w:val="right"/>
        <w:rPr>
          <w:color w:val="#2F292D"/>
          <w:sz w:val="22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В соответствии со статьей 38 Федерального закона от 21 декабря 1994 г. М 69-Ф3 «О</w:t>
      </w:r>
    </w:p>
    <w:p>
      <w:pPr>
        <w:ind w:right="0" w:left="0" w:firstLine="0"/>
        <w:spacing w:before="0" w:after="0" w:line="240" w:lineRule="auto"/>
        <w:jc w:val="center"/>
        <w:rPr>
          <w:color w:val="#2F292D"/>
          <w:sz w:val="26"/>
          <w:lang w:val="ru-RU"/>
          <w:spacing w:val="-34"/>
          <w:w w:val="100"/>
          <w:strike w:val="false"/>
          <w:vertAlign w:val="baseline"/>
          <w:rFonts w:ascii="Courier New" w:hAnsi="Courier New"/>
        </w:rPr>
      </w:pPr>
      <w:r>
        <w:rPr>
          <w:color w:val="#2F292D"/>
          <w:sz w:val="26"/>
          <w:lang w:val="ru-RU"/>
          <w:spacing w:val="-34"/>
          <w:w w:val="100"/>
          <w:strike w:val="false"/>
          <w:vertAlign w:val="baseline"/>
          <w:rFonts w:ascii="Courier New" w:hAnsi="Courier New"/>
        </w:rPr>
        <w:t xml:space="preserve">пожарной безопасности» ответственность за нарушение обязательны требований пожарной
</w:t>
        <w:br/>
      </w:r>
      <w:r>
        <w:rPr>
          <w:color w:val="#2F292D"/>
          <w:sz w:val="26"/>
          <w:lang w:val="ru-RU"/>
          <w:spacing w:val="-23"/>
          <w:w w:val="100"/>
          <w:strike w:val="false"/>
          <w:vertAlign w:val="baseline"/>
          <w:rFonts w:ascii="Courier New" w:hAnsi="Courier New"/>
        </w:rPr>
        <w:t xml:space="preserve">безопасности несут: собственники имущества; руководители федеральных органов</w:t>
      </w:r>
    </w:p>
    <w:p>
      <w:pPr>
        <w:ind w:right="0" w:left="0" w:firstLine="0"/>
        <w:spacing w:before="0" w:after="0" w:line="240" w:lineRule="auto"/>
        <w:jc w:val="center"/>
        <w:rPr>
          <w:color w:val="#2F292D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исполнительной власти; руководители органов местного самоуправления; лица, уполномоченные</w:t>
      </w:r>
    </w:p>
    <w:p>
      <w:pPr>
        <w:ind w:right="0" w:left="0" w:firstLine="0"/>
        <w:spacing w:before="0" w:after="0" w:line="240" w:lineRule="auto"/>
        <w:jc w:val="center"/>
        <w:rPr>
          <w:color w:val="#2F292D"/>
          <w:sz w:val="26"/>
          <w:lang w:val="ru-RU"/>
          <w:spacing w:val="-42"/>
          <w:w w:val="100"/>
          <w:strike w:val="false"/>
          <w:vertAlign w:val="baseline"/>
          <w:rFonts w:ascii="Courier New" w:hAnsi="Courier New"/>
        </w:rPr>
      </w:pPr>
      <w:r>
        <w:rPr>
          <w:color w:val="#2F292D"/>
          <w:sz w:val="26"/>
          <w:lang w:val="ru-RU"/>
          <w:spacing w:val="-42"/>
          <w:w w:val="100"/>
          <w:strike w:val="false"/>
          <w:vertAlign w:val="baseline"/>
          <w:rFonts w:ascii="Courier New" w:hAnsi="Courier New"/>
        </w:rPr>
        <w:t xml:space="preserve">владеть, пользоваться или распоряжаться имуществом, в том числе руководители организаций;
</w:t>
        <w:br/>
      </w:r>
      <w:r>
        <w:rPr>
          <w:color w:val="#2F292D"/>
          <w:sz w:val="26"/>
          <w:lang w:val="ru-RU"/>
          <w:spacing w:val="-29"/>
          <w:w w:val="100"/>
          <w:strike w:val="false"/>
          <w:vertAlign w:val="baseline"/>
          <w:rFonts w:ascii="Courier New" w:hAnsi="Courier New"/>
        </w:rPr>
        <w:t xml:space="preserve">лица, в установленном порядке назначенные ответственными за обеспечение пожарной</w:t>
      </w:r>
    </w:p>
    <w:p>
      <w:pPr>
        <w:ind w:right="0" w:left="0" w:firstLine="0"/>
        <w:spacing w:before="0" w:after="0" w:line="240" w:lineRule="auto"/>
        <w:jc w:val="left"/>
        <w:rPr>
          <w:color w:val="#2F292D"/>
          <w:sz w:val="22"/>
          <w:lang w:val="ru-RU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безопасности; должностные лица в пределах их компетенции.</w:t>
      </w:r>
    </w:p>
    <w:p>
      <w:pPr>
        <w:ind w:right="0" w:left="0" w:firstLine="432"/>
        <w:spacing w:before="72" w:after="72" w:line="240" w:lineRule="auto"/>
        <w:jc w:val="both"/>
        <w:rPr>
          <w:color w:val="#2F292D"/>
          <w:sz w:val="22"/>
          <w:lang w:val="ru-RU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2F292D"/>
          <w:sz w:val="22"/>
          <w:lang w:val="ru-RU"/>
          <w:spacing w:val="-5"/>
          <w:w w:val="100"/>
          <w:strike w:val="false"/>
          <w:vertAlign w:val="baseline"/>
          <w:rFonts w:ascii="Arial" w:hAnsi="Arial"/>
        </w:rPr>
        <w:t xml:space="preserve">Ответственность за нарушение обязательных требований пожарной безопасности для квартир </w:t>
      </w:r>
      <w:r>
        <w:rPr>
          <w:color w:val="#2F292D"/>
          <w:sz w:val="22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(комнат) в домах государственного, муниципального и ведомственного жилищного фонда </w:t>
      </w:r>
      <w:r>
        <w:rPr>
          <w:color w:val="#2F292D"/>
          <w:sz w:val="22"/>
          <w:lang w:val="ru-RU"/>
          <w:spacing w:val="-5"/>
          <w:w w:val="100"/>
          <w:strike w:val="false"/>
          <w:vertAlign w:val="baseline"/>
          <w:rFonts w:ascii="Arial" w:hAnsi="Arial"/>
        </w:rPr>
        <w:t xml:space="preserve">возлагается на ответственных квартиросъемщиков или арендаторов, если иное не предусмотрено </w:t>
      </w:r>
      <w:r>
        <w:rPr>
          <w:color w:val="#2F292D"/>
          <w:sz w:val="22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соответствующим договором.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55"/>
        <w:gridCol w:w="714"/>
        <w:gridCol w:w="4531"/>
        <w:gridCol w:w="4160"/>
      </w:tblGrid>
      <w:tr>
        <w:trPr>
          <w:trHeight w:val="1104" w:hRule="exact"/>
        </w:trPr>
        <w:tc>
          <w:tcPr>
            <w:gridSpan w:val="3"/>
            <w:tcBorders>
              <w:top w:val="none" w:sz="0" w:color="#000000"/>
              <w:bottom w:val="single" w:sz="7" w:color="#585158"/>
              <w:left w:val="none" w:sz="0" w:color="#000000"/>
              <w:right w:val="none" w:sz="0" w:color="#000000"/>
            </w:tcBorders>
            <w:tcW w:w="6100" w:type="auto"/>
            <w:textDirection w:val="lrTb"/>
            <w:vAlign w:val="top"/>
          </w:tcPr>
          <w:p>
            <w:pPr>
              <w:ind w:right="1764" w:left="0" w:firstLine="0"/>
              <w:spacing w:before="252" w:after="0" w:line="268" w:lineRule="auto"/>
              <w:jc w:val="left"/>
              <w:rPr>
                <w:i w:val="true"/>
                <w:color w:val="#2F292D"/>
                <w:sz w:val="22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2F292D"/>
                <w:sz w:val="22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Государственный инспектор г. Яросгтавля </w:t>
            </w:r>
            <w:r>
              <w:rPr>
                <w:i w:val="true"/>
                <w:color w:val="#2F292D"/>
                <w:sz w:val="22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 пожарному надзору</w:t>
            </w:r>
          </w:p>
          <w:p>
            <w:pPr>
              <w:ind w:right="0" w:left="0" w:firstLine="0"/>
              <w:spacing w:before="72" w:after="0" w:line="192" w:lineRule="auto"/>
              <w:jc w:val="left"/>
              <w:rPr>
                <w:i w:val="true"/>
                <w:color w:val="#2F292D"/>
                <w:sz w:val="22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2F292D"/>
                <w:sz w:val="22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Логвинов А. А.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260" w:type="auto"/>
            <w:textDirection w:val="lrTb"/>
            <w:vAlign w:val="top"/>
            <w:vMerge w:val="restart"/>
          </w:tcPr>
          <w:p>
            <w:pPr>
              <w:ind w:right="174" w:left="864"/>
              <w:spacing w:before="0" w:after="216" w:line="240" w:lineRule="auto"/>
              <w:jc w:val="right"/>
            </w:pPr>
            <w:r>
              <w:drawing>
                <wp:inline>
                  <wp:extent cx="1969135" cy="134429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4" w:hRule="exact"/>
        </w:trPr>
        <w:tc>
          <w:tcPr>
            <w:gridSpan w:val="3"/>
            <w:tcBorders>
              <w:top w:val="single" w:sz="7" w:color="#585158"/>
              <w:bottom w:val="none" w:sz="0" w:color="#000000"/>
              <w:left w:val="none" w:sz="0" w:color="#000000"/>
              <w:right w:val="none" w:sz="0" w:color="#000000"/>
            </w:tcBorders>
            <w:tcW w:w="6100" w:type="auto"/>
            <w:textDirection w:val="lrTb"/>
            <w:vAlign w:val="top"/>
          </w:tcPr>
          <w:p>
            <w:pPr>
              <w:ind w:right="0" w:left="10" w:firstLine="0"/>
              <w:spacing w:before="0" w:after="0" w:line="240" w:lineRule="auto"/>
              <w:jc w:val="left"/>
              <w:rPr>
                <w:color w:val="#2F292D"/>
                <w:sz w:val="15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15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</w:t>
            </w:r>
            <w:r>
              <w:rPr>
                <w:color w:val="#2F292D"/>
                <w:sz w:val="15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должность. </w:t>
            </w:r>
            <w:r>
              <w:rPr>
                <w:color w:val="#2F292D"/>
                <w:sz w:val="15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фамилия, </w:t>
            </w:r>
            <w:r>
              <w:rPr>
                <w:color w:val="#2F292D"/>
                <w:sz w:val="15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инициалы государственного инспектора по пожарному иалзору)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260" w:type="auto"/>
            <w:textDirection w:val="lrTb"/>
            <w:vAlign w:val="top"/>
            <w:vMerge w:val="continue"/>
          </w:tcPr>
          <w:p/>
        </w:tc>
      </w:tr>
      <w:tr>
        <w:trPr>
          <w:trHeight w:val="30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3" w:color="#969296"/>
              <w:left w:val="none" w:sz="0" w:color="#000000"/>
              <w:right w:val="none" w:sz="0" w:color="#000000"/>
            </w:tcBorders>
            <w:tcW w:w="15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6100" w:type="auto"/>
            <w:textDirection w:val="lrTb"/>
            <w:vAlign w:val="center"/>
            <w:vMerge w:val="restart"/>
          </w:tcPr>
          <w:p>
            <w:pPr>
              <w:ind w:right="2696" w:left="0" w:firstLine="0"/>
              <w:spacing w:before="0" w:after="0" w:line="240" w:lineRule="auto"/>
              <w:jc w:val="right"/>
              <w:tabs>
                <w:tab w:val="right" w:leader="none" w:pos="1835"/>
              </w:tabs>
              <w:rPr>
                <w:i w:val="true"/>
                <w:color w:val="#616CC2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i w:val="true"/>
                <w:color w:val="#616CC2"/>
                <w:sz w:val="19"/>
                <w:lang w:val="ru-RU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гмС_</w:t>
            </w:r>
            <w:r>
              <w:rPr>
                <w:color w:val="#2F292D"/>
                <w:sz w:val="22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ab/>
            </w:r>
            <w:r>
              <w:rPr>
                <w:color w:val="#2F292D"/>
                <w:sz w:val="22"/>
                <w:lang w:val="ru-RU"/>
                <w:spacing w:val="28"/>
                <w:w w:val="100"/>
                <w:strike w:val="false"/>
                <w:vertAlign w:val="baseline"/>
                <w:rFonts w:ascii="Arial" w:hAnsi="Arial"/>
              </w:rPr>
              <w:t xml:space="preserve">20 г.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260" w:type="auto"/>
            <w:textDirection w:val="lrTb"/>
            <w:vAlign w:val="top"/>
            <w:vMerge w:val="continue"/>
          </w:tcPr>
          <w:p/>
        </w:tc>
      </w:tr>
      <w:tr>
        <w:trPr>
          <w:trHeight w:val="19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5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3" w:color="#969296"/>
              <w:bottom w:val="none" w:sz="0" w:color="#000000"/>
              <w:left w:val="none" w:sz="0" w:color="#000000"/>
              <w:right w:val="none" w:sz="0" w:color="#000000"/>
            </w:tcBorders>
            <w:tcW w:w="1569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6100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260" w:type="auto"/>
            <w:textDirection w:val="lrTb"/>
            <w:vAlign w:val="top"/>
            <w:vMerge w:val="continue"/>
          </w:tcPr>
          <w:p/>
        </w:tc>
      </w:tr>
      <w:tr>
        <w:trPr>
          <w:trHeight w:val="422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00" w:type="auto"/>
            <w:textDirection w:val="lrTb"/>
            <w:vAlign w:val="center"/>
          </w:tcPr>
          <w:p>
            <w:pPr>
              <w:ind w:right="0" w:left="10" w:firstLine="0"/>
              <w:spacing w:before="0" w:after="0" w:line="240" w:lineRule="auto"/>
              <w:jc w:val="left"/>
              <w:rPr>
                <w:color w:val="#2F292D"/>
                <w:sz w:val="23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2F292D"/>
                <w:sz w:val="23"/>
                <w:lang w:val="ru-RU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Предписание для иепАлненрня получил;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26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24" w:line="20" w:lineRule="exact"/>
      </w:pPr>
    </w:p>
    <w:p>
      <w:pPr>
        <w:sectPr>
          <w:pgSz w:w="11918" w:h="16854" w:orient="portrait"/>
          <w:type w:val="nextPage"/>
          <w:textDirection w:val="lrTb"/>
          <w:pgMar w:bottom="2642" w:top="350" w:right="767" w:left="831" w:header="720" w:footer="720"/>
          <w:titlePg w:val="false"/>
        </w:sectPr>
      </w:pPr>
    </w:p>
    <w:p>
      <w:pPr>
        <w:ind w:right="0" w:left="0" w:firstLine="0"/>
        <w:spacing w:before="742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11.8pt;height:36.2pt;z-index:-1000;margin-left:0.6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2129790</wp:posOffset>
            </wp:positionH>
            <wp:positionV relativeFrom="paragraph">
              <wp:posOffset>0</wp:posOffset>
            </wp:positionV>
            <wp:extent cx="2475230" cy="448310"/>
            <wp:wrapThrough wrapText="bothSides">
              <wp:wrapPolygon>
                <wp:start x="0" y="0"/>
                <wp:lineTo x="0" y="21612"/>
                <wp:lineTo x="11333" y="21612"/>
                <wp:lineTo x="11333" y="14112"/>
                <wp:lineTo x="21602" y="14112"/>
                <wp:lineTo x="21602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36pt;height:12.25pt;z-index:-998;margin-left:276.45pt;margin-top:23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40" w:lineRule="auto"/>
                    <w:jc w:val="left"/>
                    <w:framePr w:hAnchor="text" w:vAnchor="text" w:x="5529" w:y="461" w:w="4720" w:h="245" w:hSpace="0" w:vSpace="0" w:wrap="none"/>
                    <w:rPr>
                      <w:color w:val="#2F292D"/>
                      <w:sz w:val="15"/>
                      <w:lang w:val="ru-RU"/>
                      <w:spacing w:val="-19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2F292D"/>
                      <w:sz w:val="15"/>
                      <w:lang w:val="ru-RU"/>
                      <w:spacing w:val="-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S!</w:t>
                  </w:r>
                  <w:r>
                    <w:rPr>
                      <w:color w:val="#2F292D"/>
                      <w:sz w:val="15"/>
                      <w:lang w:val="ru-RU"/>
                      <w:spacing w:val="-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рКН©етъ, </w:t>
                  </w:r>
                  <w:r>
                    <w:rPr>
                      <w:color w:val="#2F292D"/>
                      <w:sz w:val="16"/>
                      <w:lang w:val="ru-RU"/>
                      <w:spacing w:val="-1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фамилия иимш алга)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9pt;height:24pt;z-index:-997;margin-left:0.6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792"/>
                    <w:spacing w:before="53" w:after="38" w:line="240" w:lineRule="auto"/>
                    <w:jc w:val="left"/>
                  </w:pPr>
                  <w:r>
                    <w:drawing>
                      <wp:inline>
                        <wp:extent cx="838200" cy="24701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09pt;height:11.3pt;z-index:-996;margin-left:0.65pt;margin-top:24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1008" w:firstLine="0"/>
                    <w:spacing w:before="0" w:after="36" w:line="283" w:lineRule="auto"/>
                    <w:jc w:val="left"/>
                    <w:framePr w:hAnchor="text" w:vAnchor="text" w:x="13" w:y="480" w:w="2180" w:h="226" w:hSpace="0" w:vSpace="0" w:wrap="none"/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</w:pP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(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п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о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д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п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й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Е</w:t>
                  </w:r>
                  <w:r>
                    <w:rPr>
                      <w:color w:val="#2F292D"/>
                      <w:sz w:val="15"/>
                      <w:lang w:val="ru-RU"/>
                      <w:spacing w:val="-16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И)</w:t>
                  </w:r>
                </w:p>
              </w:txbxContent>
            </v:textbox>
          </v:shape>
        </w:pict>
      </w:r>
      <w:r>
        <w:pict>
          <v:line strokeweight="1.2pt" strokecolor="#7A74C5" from="488.1pt,2.9pt" to="508.8pt,2.9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7B797B" from="440.1pt,21.15pt" to="497.5pt,21.1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2642" w:top="350" w:right="783" w:left="842" w:header="720" w:footer="720"/>
          <w:titlePg w:val="false"/>
        </w:sectPr>
      </w:pPr>
    </w:p>
    <w:p>
      <w:pPr>
        <w:ind w:right="0" w:left="0" w:firstLine="0"/>
        <w:spacing w:before="0" w:after="0" w:line="204" w:lineRule="auto"/>
        <w:jc w:val="left"/>
        <w:tabs>
          <w:tab w:val="right" w:leader="none" w:pos="3740"/>
        </w:tabs>
        <w:rPr>
          <w:color w:val="#49407B"/>
          <w:sz w:val="24"/>
          <w:lang w:val="ru-RU"/>
          <w:spacing w:val="206"/>
          <w:w w:val="9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13pt;height:9.6pt;z-index:-995;margin-left:41.55pt;margin-top:69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 w:firstLine="0"/>
                    <w:spacing w:before="0" w:after="0" w:line="240" w:lineRule="auto"/>
                    <w:jc w:val="left"/>
                    <w:framePr w:hAnchor="page" w:vAnchor="page" w:x="831" w:y="13882" w:w="10260" w:h="192" w:hSpace="0" w:vSpace="0" w:wrap="3"/>
                    <w:tabs>
                      <w:tab w:val="right" w:leader="none" w:pos="5468"/>
                    </w:tabs>
                    <w:rPr>
                      <w:color w:val="#2F292D"/>
                      <w:sz w:val="15"/>
                      <w:lang w:val="ru-RU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2F292D"/>
                      <w:sz w:val="15"/>
                      <w:lang w:val="ru-RU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* =</w:t>
                  </w:r>
                  <w:r>
                    <w:rPr>
                      <w:color w:val="#2F292D"/>
                      <w:sz w:val="15"/>
                      <w:lang w:val="ru-RU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Место личНоП печати </w:t>
                  </w:r>
                  <w:r>
                    <w:rPr>
                      <w:color w:val="#2F292D"/>
                      <w:sz w:val="16"/>
                      <w:lang w:val="ru-RU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ГоСУр{ рсСАеп п го </w:t>
                  </w:r>
                  <w:r>
                    <w:rPr>
                      <w:color w:val="#2F292D"/>
                      <w:sz w:val="14"/>
                      <w:lang w:val="ru-RU"/>
                      <w:spacing w:val="-2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riи0пQгtr РО п	</w:t>
                  </w:r>
                  <w:r>
                    <w:rPr>
                      <w:color w:val="#2F292D"/>
                      <w:sz w:val="14"/>
                      <w:lang w:val="ru-RU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ПП Н МЮРУ</w:t>
                  </w:r>
                </w:p>
              </w:txbxContent>
            </v:textbox>
          </v:shape>
        </w:pict>
      </w:r>
      <w:r>
        <w:rPr>
          <w:color w:val="#49407B"/>
          <w:sz w:val="24"/>
          <w:lang w:val="ru-RU"/>
          <w:spacing w:val="206"/>
          <w:w w:val="90"/>
          <w:strike w:val="false"/>
          <w:vertAlign w:val="baseline"/>
          <w:rFonts w:ascii="Times New Roman" w:hAnsi="Times New Roman"/>
        </w:rPr>
        <w:t xml:space="preserve">«»</w:t>
      </w:r>
      <w:r>
        <w:rPr>
          <w:color w:val="#2F292D"/>
          <w:sz w:val="6"/>
          <w:lang w:val="ru-RU"/>
          <w:spacing w:val="206"/>
          <w:w w:val="100"/>
          <w:strike w:val="false"/>
          <w:vertAlign w:val="baseline"/>
          <w:rFonts w:ascii="Times New Roman" w:hAnsi="Times New Roman"/>
        </w:rPr>
        <w:t xml:space="preserve"> 	</w:t>
      </w:r>
      <w:r>
        <w:rPr>
          <w:color w:val="#2F292D"/>
          <w:sz w:val="26"/>
          <w:lang w:val="ru-RU"/>
          <w:spacing w:val="40"/>
          <w:w w:val="95"/>
          <w:strike w:val="false"/>
          <w:vertAlign w:val="baseline"/>
          <w:rFonts w:ascii="Times New Roman" w:hAnsi="Times New Roman"/>
        </w:rPr>
        <w:t xml:space="preserve">20r.</w:t>
      </w:r>
    </w:p>
    <w:sectPr>
      <w:pgSz w:w="11918" w:h="16854" w:orient="portrait"/>
      <w:type w:val="continuous"/>
      <w:textDirection w:val="lrTb"/>
      <w:pgMar w:bottom="2642" w:top="350" w:right="7243" w:left="85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